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45C3" w14:textId="28EBE82C" w:rsidR="00C65706" w:rsidRPr="00C65706" w:rsidRDefault="00C65706" w:rsidP="00C65706">
      <w:pPr>
        <w:ind w:left="720" w:hanging="360"/>
        <w:jc w:val="right"/>
        <w:rPr>
          <w:u w:val="single"/>
        </w:rPr>
      </w:pPr>
      <w:r w:rsidRPr="00C65706">
        <w:rPr>
          <w:u w:val="single"/>
        </w:rPr>
        <w:t>Appendix 2</w:t>
      </w:r>
    </w:p>
    <w:p w14:paraId="7D36B8EC" w14:textId="376126E1" w:rsidR="00C65706" w:rsidRDefault="00C65706" w:rsidP="00C65706">
      <w:pPr>
        <w:ind w:left="720" w:hanging="360"/>
        <w:jc w:val="right"/>
      </w:pPr>
    </w:p>
    <w:p w14:paraId="251D4401" w14:textId="4BD35198" w:rsidR="00C65706" w:rsidRPr="00C65706" w:rsidRDefault="00C65706" w:rsidP="00C65706">
      <w:pPr>
        <w:ind w:left="720" w:hanging="360"/>
        <w:jc w:val="center"/>
        <w:rPr>
          <w:b/>
          <w:bCs/>
          <w:u w:val="single"/>
        </w:rPr>
      </w:pPr>
      <w:r w:rsidRPr="00C65706">
        <w:rPr>
          <w:b/>
          <w:bCs/>
          <w:u w:val="single"/>
        </w:rPr>
        <w:t>Updated Note of matters considered by the Pension Fund Committee</w:t>
      </w:r>
      <w:r>
        <w:rPr>
          <w:b/>
          <w:bCs/>
          <w:u w:val="single"/>
        </w:rPr>
        <w:t xml:space="preserve"> on 9 September 2020.</w:t>
      </w:r>
    </w:p>
    <w:p w14:paraId="57A8A450" w14:textId="77777777" w:rsidR="00C65706" w:rsidRDefault="00C65706" w:rsidP="00C65706">
      <w:pPr>
        <w:ind w:left="720" w:hanging="360"/>
        <w:jc w:val="right"/>
      </w:pPr>
    </w:p>
    <w:p w14:paraId="2AC88C9C" w14:textId="23A31999" w:rsidR="00C65706" w:rsidRDefault="00C65706" w:rsidP="00C65706">
      <w:pPr>
        <w:numPr>
          <w:ilvl w:val="0"/>
          <w:numId w:val="1"/>
        </w:numPr>
        <w:rPr>
          <w:bCs/>
          <w:szCs w:val="24"/>
        </w:rPr>
      </w:pPr>
      <w:r>
        <w:rPr>
          <w:bCs/>
          <w:szCs w:val="24"/>
        </w:rPr>
        <w:t>The m</w:t>
      </w:r>
      <w:r w:rsidRPr="005A6D20">
        <w:rPr>
          <w:bCs/>
          <w:szCs w:val="24"/>
        </w:rPr>
        <w:t xml:space="preserve">atters considered by the Pension Fund Committee at </w:t>
      </w:r>
      <w:r>
        <w:rPr>
          <w:bCs/>
          <w:szCs w:val="24"/>
        </w:rPr>
        <w:t>its</w:t>
      </w:r>
      <w:r w:rsidRPr="005A6D20">
        <w:rPr>
          <w:bCs/>
          <w:szCs w:val="24"/>
        </w:rPr>
        <w:t xml:space="preserve"> meeting on 9 September 2020 </w:t>
      </w:r>
      <w:r>
        <w:rPr>
          <w:bCs/>
          <w:szCs w:val="24"/>
        </w:rPr>
        <w:t>are summarised in the table below.</w:t>
      </w:r>
      <w:r>
        <w:rPr>
          <w:bCs/>
          <w:szCs w:val="24"/>
        </w:rPr>
        <w:t xml:space="preserve"> The Committee’s decisions are highlighted in bold type.</w:t>
      </w:r>
    </w:p>
    <w:p w14:paraId="6AC71250" w14:textId="77777777" w:rsidR="00C65706" w:rsidRDefault="00C65706" w:rsidP="00C65706">
      <w:pPr>
        <w:ind w:left="720"/>
        <w:rPr>
          <w:bCs/>
          <w:szCs w:val="24"/>
        </w:rPr>
      </w:pPr>
    </w:p>
    <w:p w14:paraId="72167880" w14:textId="77777777" w:rsidR="00C65706" w:rsidRDefault="00C65706" w:rsidP="00C65706">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C65706" w14:paraId="2A2CFBA3" w14:textId="77777777" w:rsidTr="00B30D4C">
        <w:tc>
          <w:tcPr>
            <w:tcW w:w="2961" w:type="dxa"/>
          </w:tcPr>
          <w:p w14:paraId="6319C700" w14:textId="77777777" w:rsidR="00C65706" w:rsidRPr="005A6D20" w:rsidRDefault="00C65706" w:rsidP="00B30D4C">
            <w:pPr>
              <w:rPr>
                <w:b/>
                <w:szCs w:val="24"/>
              </w:rPr>
            </w:pPr>
            <w:r w:rsidRPr="005A6D20">
              <w:rPr>
                <w:b/>
                <w:szCs w:val="24"/>
              </w:rPr>
              <w:t>Report</w:t>
            </w:r>
          </w:p>
        </w:tc>
        <w:tc>
          <w:tcPr>
            <w:tcW w:w="4618" w:type="dxa"/>
          </w:tcPr>
          <w:p w14:paraId="6EF4389E" w14:textId="77777777" w:rsidR="00C65706" w:rsidRPr="005A6D20" w:rsidRDefault="00C65706" w:rsidP="00B30D4C">
            <w:pPr>
              <w:rPr>
                <w:b/>
                <w:szCs w:val="24"/>
              </w:rPr>
            </w:pPr>
            <w:r w:rsidRPr="005A6D20">
              <w:rPr>
                <w:b/>
                <w:szCs w:val="24"/>
              </w:rPr>
              <w:t>Comments</w:t>
            </w:r>
          </w:p>
        </w:tc>
      </w:tr>
      <w:tr w:rsidR="00C65706" w14:paraId="5143D06C" w14:textId="77777777" w:rsidTr="00B30D4C">
        <w:tc>
          <w:tcPr>
            <w:tcW w:w="2961" w:type="dxa"/>
          </w:tcPr>
          <w:p w14:paraId="1ABE67F8" w14:textId="77777777" w:rsidR="00C65706" w:rsidRPr="002E7D60" w:rsidRDefault="00C65706" w:rsidP="00B30D4C">
            <w:pPr>
              <w:rPr>
                <w:b/>
                <w:szCs w:val="24"/>
              </w:rPr>
            </w:pPr>
            <w:r w:rsidRPr="002E7D60">
              <w:rPr>
                <w:b/>
                <w:szCs w:val="24"/>
              </w:rPr>
              <w:t>Part I</w:t>
            </w:r>
          </w:p>
        </w:tc>
        <w:tc>
          <w:tcPr>
            <w:tcW w:w="4618" w:type="dxa"/>
          </w:tcPr>
          <w:p w14:paraId="15A76113" w14:textId="77777777" w:rsidR="00C65706" w:rsidRDefault="00C65706" w:rsidP="00B30D4C">
            <w:pPr>
              <w:rPr>
                <w:bCs/>
                <w:szCs w:val="24"/>
              </w:rPr>
            </w:pPr>
          </w:p>
        </w:tc>
      </w:tr>
      <w:tr w:rsidR="00C65706" w14:paraId="777B3102" w14:textId="77777777" w:rsidTr="00B30D4C">
        <w:tc>
          <w:tcPr>
            <w:tcW w:w="2961" w:type="dxa"/>
          </w:tcPr>
          <w:p w14:paraId="319F93C1" w14:textId="77777777" w:rsidR="00C65706" w:rsidRDefault="00C65706" w:rsidP="00B30D4C">
            <w:pPr>
              <w:rPr>
                <w:bCs/>
                <w:szCs w:val="24"/>
              </w:rPr>
            </w:pPr>
            <w:r>
              <w:rPr>
                <w:bCs/>
                <w:szCs w:val="24"/>
              </w:rPr>
              <w:t>Pension Fund Draft Annual Report and Accounts 2019-20</w:t>
            </w:r>
          </w:p>
        </w:tc>
        <w:tc>
          <w:tcPr>
            <w:tcW w:w="4618" w:type="dxa"/>
          </w:tcPr>
          <w:p w14:paraId="51F428C1" w14:textId="77777777" w:rsidR="00C65706" w:rsidRDefault="00C65706" w:rsidP="00B30D4C">
            <w:pPr>
              <w:rPr>
                <w:bCs/>
                <w:szCs w:val="24"/>
              </w:rPr>
            </w:pPr>
            <w:r>
              <w:rPr>
                <w:bCs/>
                <w:szCs w:val="24"/>
              </w:rPr>
              <w:t>The Committee considered the Fund’s draft annual report and financial statements for 2019-2020 – these documents are subject to audit and are reported in full elsewhere on the Board’s agenda.</w:t>
            </w:r>
          </w:p>
          <w:p w14:paraId="1ECC658F" w14:textId="272129BF" w:rsidR="00C65706" w:rsidRDefault="00C65706" w:rsidP="00B30D4C">
            <w:pPr>
              <w:rPr>
                <w:bCs/>
                <w:szCs w:val="24"/>
              </w:rPr>
            </w:pPr>
            <w:r>
              <w:rPr>
                <w:bCs/>
                <w:szCs w:val="24"/>
              </w:rPr>
              <w:t xml:space="preserve">The Committee also reviewed the external audit plan. </w:t>
            </w:r>
          </w:p>
          <w:p w14:paraId="3E4B3FF5" w14:textId="67E15CFD" w:rsidR="00C65706" w:rsidRDefault="00C65706" w:rsidP="00B30D4C">
            <w:pPr>
              <w:rPr>
                <w:bCs/>
                <w:szCs w:val="24"/>
              </w:rPr>
            </w:pPr>
          </w:p>
          <w:p w14:paraId="4BB93E96" w14:textId="3C16E1B1" w:rsidR="00C65706" w:rsidRPr="00C65706" w:rsidRDefault="00C65706" w:rsidP="00B30D4C">
            <w:pPr>
              <w:rPr>
                <w:b/>
                <w:szCs w:val="24"/>
              </w:rPr>
            </w:pPr>
            <w:r w:rsidRPr="00C65706">
              <w:rPr>
                <w:b/>
                <w:szCs w:val="24"/>
              </w:rPr>
              <w:t>After asking several questions, the Committee NOTED the report</w:t>
            </w:r>
            <w:r>
              <w:rPr>
                <w:b/>
                <w:szCs w:val="24"/>
              </w:rPr>
              <w:t>.</w:t>
            </w:r>
          </w:p>
          <w:p w14:paraId="2260D294" w14:textId="77777777" w:rsidR="00C65706" w:rsidRDefault="00C65706" w:rsidP="00B30D4C">
            <w:pPr>
              <w:rPr>
                <w:bCs/>
                <w:szCs w:val="24"/>
              </w:rPr>
            </w:pPr>
          </w:p>
        </w:tc>
      </w:tr>
      <w:tr w:rsidR="00C65706" w14:paraId="55142482" w14:textId="77777777" w:rsidTr="00B30D4C">
        <w:tc>
          <w:tcPr>
            <w:tcW w:w="2961" w:type="dxa"/>
          </w:tcPr>
          <w:p w14:paraId="4C14113D" w14:textId="77777777" w:rsidR="00C65706" w:rsidRDefault="00C65706" w:rsidP="00B30D4C">
            <w:pPr>
              <w:rPr>
                <w:bCs/>
                <w:szCs w:val="24"/>
              </w:rPr>
            </w:pPr>
            <w:r>
              <w:rPr>
                <w:bCs/>
                <w:szCs w:val="24"/>
              </w:rPr>
              <w:t>Review of Internal Controls at Investment Managers</w:t>
            </w:r>
          </w:p>
        </w:tc>
        <w:tc>
          <w:tcPr>
            <w:tcW w:w="4618" w:type="dxa"/>
          </w:tcPr>
          <w:p w14:paraId="38E62036" w14:textId="77777777" w:rsidR="00C65706" w:rsidRDefault="00C65706" w:rsidP="00B30D4C">
            <w:pPr>
              <w:rPr>
                <w:bCs/>
                <w:szCs w:val="24"/>
              </w:rPr>
            </w:pPr>
            <w:r>
              <w:rPr>
                <w:bCs/>
                <w:szCs w:val="24"/>
              </w:rPr>
              <w:t xml:space="preserve">This report summarised the findings of external auditors’ reviews of the internal controls in place at each of the Investment managers, plus the reports made available by the London CIV of the reviews of controls undertaken at the managers available via the CIV. </w:t>
            </w:r>
          </w:p>
          <w:p w14:paraId="6F6E834B" w14:textId="77777777" w:rsidR="00C65706" w:rsidRDefault="00C65706" w:rsidP="00B30D4C">
            <w:pPr>
              <w:rPr>
                <w:bCs/>
                <w:szCs w:val="24"/>
              </w:rPr>
            </w:pPr>
          </w:p>
          <w:p w14:paraId="7DAFBF9D" w14:textId="77777777" w:rsidR="00C65706" w:rsidRDefault="00C65706" w:rsidP="00B30D4C">
            <w:pPr>
              <w:rPr>
                <w:bCs/>
                <w:szCs w:val="24"/>
              </w:rPr>
            </w:pPr>
            <w:r>
              <w:rPr>
                <w:bCs/>
                <w:szCs w:val="24"/>
              </w:rPr>
              <w:t>The reports indicated in each case that controls were operating effectively, and where exceptions were identified that an appropriate management response was received.</w:t>
            </w:r>
          </w:p>
          <w:p w14:paraId="3EB16269" w14:textId="77777777" w:rsidR="00C65706" w:rsidRDefault="00C65706" w:rsidP="00B30D4C">
            <w:pPr>
              <w:rPr>
                <w:bCs/>
                <w:szCs w:val="24"/>
              </w:rPr>
            </w:pPr>
          </w:p>
          <w:p w14:paraId="5F8622B4" w14:textId="77777777" w:rsidR="00C65706" w:rsidRPr="00C65706" w:rsidRDefault="00C65706" w:rsidP="00B30D4C">
            <w:pPr>
              <w:rPr>
                <w:b/>
                <w:szCs w:val="24"/>
              </w:rPr>
            </w:pPr>
            <w:r w:rsidRPr="00C65706">
              <w:rPr>
                <w:b/>
                <w:szCs w:val="24"/>
              </w:rPr>
              <w:t xml:space="preserve">The Committee NOTED the report </w:t>
            </w:r>
          </w:p>
          <w:p w14:paraId="5A56F57A" w14:textId="7AC48097" w:rsidR="00C65706" w:rsidRDefault="00C65706" w:rsidP="00B30D4C">
            <w:pPr>
              <w:rPr>
                <w:bCs/>
                <w:szCs w:val="24"/>
              </w:rPr>
            </w:pPr>
          </w:p>
        </w:tc>
      </w:tr>
      <w:tr w:rsidR="00C65706" w14:paraId="57339360" w14:textId="77777777" w:rsidTr="00B30D4C">
        <w:tc>
          <w:tcPr>
            <w:tcW w:w="2961" w:type="dxa"/>
          </w:tcPr>
          <w:p w14:paraId="00C96B3E" w14:textId="77777777" w:rsidR="00C65706" w:rsidRDefault="00C65706" w:rsidP="00B30D4C">
            <w:pPr>
              <w:rPr>
                <w:bCs/>
                <w:szCs w:val="24"/>
              </w:rPr>
            </w:pPr>
            <w:r>
              <w:t>Performance Dashboard and Update on Regular items</w:t>
            </w:r>
          </w:p>
        </w:tc>
        <w:tc>
          <w:tcPr>
            <w:tcW w:w="4618" w:type="dxa"/>
          </w:tcPr>
          <w:p w14:paraId="4A23DF19" w14:textId="77777777" w:rsidR="00C65706" w:rsidRDefault="00C65706" w:rsidP="00B30D4C">
            <w:pPr>
              <w:rPr>
                <w:bCs/>
                <w:szCs w:val="24"/>
              </w:rPr>
            </w:pPr>
            <w:r>
              <w:rPr>
                <w:bCs/>
                <w:szCs w:val="24"/>
              </w:rPr>
              <w:t xml:space="preserve">The report summarised the position of the Fund at 30 June 2020 and set out a proposed work programme for the Committee for the remainder of 2020-21. </w:t>
            </w:r>
          </w:p>
          <w:p w14:paraId="5D32970D" w14:textId="77777777" w:rsidR="00C65706" w:rsidRDefault="00C65706" w:rsidP="00B30D4C">
            <w:pPr>
              <w:rPr>
                <w:bCs/>
                <w:szCs w:val="24"/>
              </w:rPr>
            </w:pPr>
          </w:p>
          <w:p w14:paraId="6D4CEC35" w14:textId="77777777" w:rsidR="00626103" w:rsidRDefault="00C65706" w:rsidP="00B30D4C">
            <w:pPr>
              <w:rPr>
                <w:bCs/>
                <w:szCs w:val="24"/>
              </w:rPr>
            </w:pPr>
            <w:r>
              <w:rPr>
                <w:bCs/>
                <w:szCs w:val="24"/>
              </w:rPr>
              <w:t>The performance dashboard is attached at appendix 1.</w:t>
            </w:r>
          </w:p>
          <w:p w14:paraId="3A7AD1C6" w14:textId="77777777" w:rsidR="00626103" w:rsidRDefault="00626103" w:rsidP="00B30D4C">
            <w:pPr>
              <w:rPr>
                <w:bCs/>
                <w:szCs w:val="24"/>
              </w:rPr>
            </w:pPr>
          </w:p>
          <w:p w14:paraId="78D9B246" w14:textId="3D3F8817" w:rsidR="00C65706" w:rsidRPr="00626103" w:rsidRDefault="00626103" w:rsidP="00B30D4C">
            <w:pPr>
              <w:rPr>
                <w:b/>
                <w:szCs w:val="24"/>
              </w:rPr>
            </w:pPr>
            <w:r w:rsidRPr="00626103">
              <w:rPr>
                <w:b/>
                <w:szCs w:val="24"/>
              </w:rPr>
              <w:t xml:space="preserve">The Committee </w:t>
            </w:r>
            <w:r w:rsidR="009B26F7">
              <w:rPr>
                <w:b/>
                <w:szCs w:val="24"/>
              </w:rPr>
              <w:t xml:space="preserve">noted the report and </w:t>
            </w:r>
            <w:r w:rsidRPr="00626103">
              <w:rPr>
                <w:b/>
                <w:szCs w:val="24"/>
              </w:rPr>
              <w:t xml:space="preserve">approved the draft work programme, </w:t>
            </w:r>
            <w:r w:rsidRPr="00626103">
              <w:rPr>
                <w:b/>
                <w:szCs w:val="24"/>
              </w:rPr>
              <w:lastRenderedPageBreak/>
              <w:t>with the addition of training sessions before each meeting. The first of these would be a presentation from the London CIV.</w:t>
            </w:r>
            <w:r w:rsidR="00C65706" w:rsidRPr="00626103">
              <w:rPr>
                <w:b/>
                <w:szCs w:val="24"/>
              </w:rPr>
              <w:t xml:space="preserve"> </w:t>
            </w:r>
          </w:p>
          <w:p w14:paraId="52991E7D" w14:textId="77777777" w:rsidR="00C65706" w:rsidRDefault="00C65706" w:rsidP="00B30D4C">
            <w:pPr>
              <w:rPr>
                <w:bCs/>
                <w:szCs w:val="24"/>
              </w:rPr>
            </w:pPr>
          </w:p>
        </w:tc>
      </w:tr>
      <w:tr w:rsidR="00C65706" w14:paraId="7E358536" w14:textId="77777777" w:rsidTr="00B30D4C">
        <w:tc>
          <w:tcPr>
            <w:tcW w:w="2961" w:type="dxa"/>
          </w:tcPr>
          <w:p w14:paraId="70A9AE47" w14:textId="77777777" w:rsidR="00C65706" w:rsidRPr="002E7D60" w:rsidRDefault="00C65706" w:rsidP="00B30D4C">
            <w:pPr>
              <w:rPr>
                <w:b/>
                <w:szCs w:val="24"/>
              </w:rPr>
            </w:pPr>
            <w:r w:rsidRPr="002E7D60">
              <w:rPr>
                <w:b/>
                <w:szCs w:val="24"/>
              </w:rPr>
              <w:lastRenderedPageBreak/>
              <w:t>Part II</w:t>
            </w:r>
          </w:p>
        </w:tc>
        <w:tc>
          <w:tcPr>
            <w:tcW w:w="4618" w:type="dxa"/>
          </w:tcPr>
          <w:p w14:paraId="388FC2EB" w14:textId="77777777" w:rsidR="00C65706" w:rsidRDefault="00C65706" w:rsidP="00B30D4C">
            <w:pPr>
              <w:rPr>
                <w:bCs/>
                <w:szCs w:val="24"/>
              </w:rPr>
            </w:pPr>
          </w:p>
        </w:tc>
      </w:tr>
      <w:tr w:rsidR="00C65706" w14:paraId="11173633" w14:textId="77777777" w:rsidTr="00B30D4C">
        <w:tc>
          <w:tcPr>
            <w:tcW w:w="2961" w:type="dxa"/>
          </w:tcPr>
          <w:p w14:paraId="664472A2" w14:textId="77777777" w:rsidR="00C65706" w:rsidRDefault="00C65706" w:rsidP="00B30D4C">
            <w:pPr>
              <w:rPr>
                <w:bCs/>
                <w:szCs w:val="24"/>
              </w:rPr>
            </w:pPr>
            <w:r>
              <w:rPr>
                <w:bCs/>
                <w:szCs w:val="24"/>
              </w:rPr>
              <w:t>Investment Strategy Review</w:t>
            </w:r>
          </w:p>
        </w:tc>
        <w:tc>
          <w:tcPr>
            <w:tcW w:w="4618" w:type="dxa"/>
          </w:tcPr>
          <w:p w14:paraId="6AEEA12B" w14:textId="4954A3B6" w:rsidR="00C65706" w:rsidRDefault="00C65706" w:rsidP="00B30D4C">
            <w:pPr>
              <w:rPr>
                <w:szCs w:val="24"/>
              </w:rPr>
            </w:pPr>
            <w:r w:rsidRPr="00AE089B">
              <w:rPr>
                <w:szCs w:val="24"/>
              </w:rPr>
              <w:t>Members received a confidential report of the Director of Finance</w:t>
            </w:r>
            <w:r>
              <w:rPr>
                <w:szCs w:val="24"/>
              </w:rPr>
              <w:t xml:space="preserve"> and Assurance</w:t>
            </w:r>
            <w:r w:rsidRPr="00AE089B">
              <w:rPr>
                <w:szCs w:val="24"/>
              </w:rPr>
              <w:t xml:space="preserve"> on </w:t>
            </w:r>
            <w:r>
              <w:rPr>
                <w:szCs w:val="24"/>
              </w:rPr>
              <w:t xml:space="preserve">the </w:t>
            </w:r>
            <w:r w:rsidRPr="00AE089B">
              <w:rPr>
                <w:szCs w:val="24"/>
              </w:rPr>
              <w:t xml:space="preserve">Investment Strategy Review </w:t>
            </w:r>
            <w:r>
              <w:rPr>
                <w:szCs w:val="24"/>
              </w:rPr>
              <w:t>and were recommended to agree</w:t>
            </w:r>
            <w:r w:rsidRPr="00AE089B">
              <w:rPr>
                <w:szCs w:val="24"/>
              </w:rPr>
              <w:t xml:space="preserve"> the actions required to progress the Review</w:t>
            </w:r>
            <w:r>
              <w:rPr>
                <w:szCs w:val="24"/>
              </w:rPr>
              <w:t xml:space="preserve">. </w:t>
            </w:r>
            <w:r w:rsidRPr="00AE089B">
              <w:rPr>
                <w:szCs w:val="24"/>
              </w:rPr>
              <w:t xml:space="preserve">  </w:t>
            </w:r>
          </w:p>
          <w:p w14:paraId="4F195049" w14:textId="1929F230" w:rsidR="009B26F7" w:rsidRDefault="009B26F7" w:rsidP="00B30D4C">
            <w:pPr>
              <w:rPr>
                <w:szCs w:val="24"/>
              </w:rPr>
            </w:pPr>
          </w:p>
          <w:p w14:paraId="793CE3F7" w14:textId="1446DF30" w:rsidR="009B26F7" w:rsidRDefault="009B26F7" w:rsidP="00B30D4C">
            <w:pPr>
              <w:rPr>
                <w:b/>
                <w:bCs/>
                <w:szCs w:val="24"/>
              </w:rPr>
            </w:pPr>
            <w:r w:rsidRPr="009B26F7">
              <w:rPr>
                <w:b/>
                <w:bCs/>
                <w:szCs w:val="24"/>
              </w:rPr>
              <w:t>The Committee approved the approach set out in the report to progress the Investment Strategy</w:t>
            </w:r>
            <w:r>
              <w:rPr>
                <w:b/>
                <w:bCs/>
                <w:szCs w:val="24"/>
              </w:rPr>
              <w:t>, as follows:</w:t>
            </w:r>
          </w:p>
          <w:p w14:paraId="08C2859E" w14:textId="77777777" w:rsidR="009B26F7" w:rsidRPr="009B26F7" w:rsidRDefault="009B26F7" w:rsidP="009B26F7">
            <w:pPr>
              <w:pStyle w:val="ListParagraph"/>
              <w:numPr>
                <w:ilvl w:val="0"/>
                <w:numId w:val="2"/>
              </w:numPr>
              <w:rPr>
                <w:b/>
                <w:bCs/>
              </w:rPr>
            </w:pPr>
            <w:r w:rsidRPr="009B26F7">
              <w:rPr>
                <w:b/>
                <w:bCs/>
              </w:rPr>
              <w:t>it be agreed that the high level allocation be in three “buckets” as follows:</w:t>
            </w:r>
          </w:p>
          <w:p w14:paraId="298CA118" w14:textId="581E5D27" w:rsidR="009B26F7" w:rsidRPr="009B26F7" w:rsidRDefault="009B26F7" w:rsidP="009B26F7">
            <w:pPr>
              <w:pStyle w:val="ListParagraph"/>
              <w:numPr>
                <w:ilvl w:val="1"/>
                <w:numId w:val="3"/>
              </w:numPr>
              <w:rPr>
                <w:b/>
                <w:bCs/>
              </w:rPr>
            </w:pPr>
            <w:r w:rsidRPr="009B26F7">
              <w:rPr>
                <w:b/>
                <w:bCs/>
              </w:rPr>
              <w:t xml:space="preserve">50% equities, </w:t>
            </w:r>
          </w:p>
          <w:p w14:paraId="130CCD05" w14:textId="77777777" w:rsidR="009B26F7" w:rsidRPr="009B26F7" w:rsidRDefault="009B26F7" w:rsidP="009B26F7">
            <w:pPr>
              <w:pStyle w:val="ListParagraph"/>
              <w:numPr>
                <w:ilvl w:val="1"/>
                <w:numId w:val="3"/>
              </w:numPr>
              <w:rPr>
                <w:b/>
                <w:bCs/>
              </w:rPr>
            </w:pPr>
            <w:r w:rsidRPr="009B26F7">
              <w:rPr>
                <w:b/>
                <w:bCs/>
              </w:rPr>
              <w:t xml:space="preserve">25% Diversifying return assets </w:t>
            </w:r>
          </w:p>
          <w:p w14:paraId="6D21EE3D" w14:textId="583A0AEE" w:rsidR="009B26F7" w:rsidRPr="009B26F7" w:rsidRDefault="009B26F7" w:rsidP="009B26F7">
            <w:pPr>
              <w:pStyle w:val="ListParagraph"/>
              <w:numPr>
                <w:ilvl w:val="1"/>
                <w:numId w:val="3"/>
              </w:numPr>
              <w:rPr>
                <w:b/>
                <w:bCs/>
              </w:rPr>
            </w:pPr>
            <w:r w:rsidRPr="009B26F7">
              <w:rPr>
                <w:b/>
                <w:bCs/>
              </w:rPr>
              <w:t>25% Risk control assets</w:t>
            </w:r>
            <w:bookmarkStart w:id="0" w:name="LastEdit"/>
            <w:bookmarkEnd w:id="0"/>
            <w:r w:rsidRPr="009B26F7">
              <w:rPr>
                <w:b/>
                <w:bCs/>
              </w:rPr>
              <w:t>;</w:t>
            </w:r>
          </w:p>
          <w:p w14:paraId="45C23510" w14:textId="245CBBFC" w:rsidR="009B26F7" w:rsidRPr="009B26F7" w:rsidRDefault="009B26F7" w:rsidP="009B26F7">
            <w:pPr>
              <w:pStyle w:val="ListParagraph"/>
              <w:numPr>
                <w:ilvl w:val="1"/>
                <w:numId w:val="3"/>
              </w:numPr>
              <w:rPr>
                <w:b/>
                <w:bCs/>
              </w:rPr>
            </w:pPr>
            <w:r w:rsidRPr="009B26F7">
              <w:rPr>
                <w:b/>
                <w:bCs/>
              </w:rPr>
              <w:t>With rebalancing if triggers of + /- 5% are breached,</w:t>
            </w:r>
          </w:p>
          <w:p w14:paraId="248F2BFC" w14:textId="77777777" w:rsidR="009B26F7" w:rsidRPr="009B26F7" w:rsidRDefault="009B26F7" w:rsidP="009B26F7">
            <w:pPr>
              <w:rPr>
                <w:b/>
                <w:bCs/>
              </w:rPr>
            </w:pPr>
          </w:p>
          <w:p w14:paraId="070633EC" w14:textId="74119FC1" w:rsidR="009B26F7" w:rsidRPr="009B26F7" w:rsidRDefault="009B26F7" w:rsidP="009B26F7">
            <w:pPr>
              <w:pStyle w:val="ListParagraph"/>
              <w:numPr>
                <w:ilvl w:val="0"/>
                <w:numId w:val="2"/>
              </w:numPr>
              <w:rPr>
                <w:rFonts w:ascii="Times New Roman" w:hAnsi="Times New Roman"/>
                <w:b/>
                <w:bCs/>
              </w:rPr>
            </w:pPr>
            <w:r w:rsidRPr="009B26F7">
              <w:rPr>
                <w:b/>
                <w:bCs/>
              </w:rPr>
              <w:t>further actions required to complete the review be as set out in paragraph 5 of the report.</w:t>
            </w:r>
          </w:p>
          <w:p w14:paraId="5FA9D32C" w14:textId="77777777" w:rsidR="00C65706" w:rsidRDefault="00C65706" w:rsidP="00B30D4C">
            <w:pPr>
              <w:rPr>
                <w:bCs/>
                <w:szCs w:val="24"/>
              </w:rPr>
            </w:pPr>
            <w:bookmarkStart w:id="1" w:name="_GoBack"/>
            <w:bookmarkEnd w:id="1"/>
          </w:p>
        </w:tc>
      </w:tr>
      <w:tr w:rsidR="00C65706" w14:paraId="5156409B" w14:textId="77777777" w:rsidTr="00B30D4C">
        <w:tc>
          <w:tcPr>
            <w:tcW w:w="2961" w:type="dxa"/>
          </w:tcPr>
          <w:p w14:paraId="4286F5A1" w14:textId="77777777" w:rsidR="00C65706" w:rsidRDefault="00C65706" w:rsidP="00B30D4C">
            <w:pPr>
              <w:rPr>
                <w:bCs/>
                <w:szCs w:val="24"/>
              </w:rPr>
            </w:pPr>
            <w:r>
              <w:rPr>
                <w:bCs/>
                <w:szCs w:val="24"/>
              </w:rPr>
              <w:t xml:space="preserve">London CIV update </w:t>
            </w:r>
          </w:p>
        </w:tc>
        <w:tc>
          <w:tcPr>
            <w:tcW w:w="4618" w:type="dxa"/>
          </w:tcPr>
          <w:p w14:paraId="4E89F6AE" w14:textId="066B6C2C" w:rsidR="00C65706" w:rsidRDefault="00C65706" w:rsidP="00B30D4C">
            <w:pPr>
              <w:rPr>
                <w:bCs/>
                <w:szCs w:val="24"/>
              </w:rPr>
            </w:pPr>
            <w:r>
              <w:rPr>
                <w:bCs/>
                <w:szCs w:val="24"/>
              </w:rPr>
              <w:t xml:space="preserve">This report summarised the current work and Funds available through the CIV, including some recent changes in key management personnel at the CIV, and explained some actions take in response to concerns regarding performance of one Fund manager.  </w:t>
            </w:r>
          </w:p>
          <w:p w14:paraId="62218D27" w14:textId="3C3101B6" w:rsidR="009B26F7" w:rsidRDefault="009B26F7" w:rsidP="00B30D4C">
            <w:pPr>
              <w:rPr>
                <w:bCs/>
                <w:szCs w:val="24"/>
              </w:rPr>
            </w:pPr>
          </w:p>
          <w:p w14:paraId="3F1B7637" w14:textId="5AF98CBE" w:rsidR="009B26F7" w:rsidRPr="009B26F7" w:rsidRDefault="009B26F7" w:rsidP="00B30D4C">
            <w:pPr>
              <w:rPr>
                <w:b/>
                <w:szCs w:val="24"/>
              </w:rPr>
            </w:pPr>
            <w:r w:rsidRPr="009B26F7">
              <w:rPr>
                <w:b/>
                <w:szCs w:val="24"/>
              </w:rPr>
              <w:t>The report was noted, together with the update on proposals for development of the CIV Multi Asset Credit Fund. As indicated above, officers from the CIV will be asked to attend the “training” slot at the Committee’s next meeting.</w:t>
            </w:r>
          </w:p>
          <w:p w14:paraId="1DC95F35" w14:textId="77777777" w:rsidR="00C65706" w:rsidRDefault="00C65706" w:rsidP="00B30D4C">
            <w:pPr>
              <w:rPr>
                <w:bCs/>
                <w:szCs w:val="24"/>
              </w:rPr>
            </w:pPr>
          </w:p>
        </w:tc>
      </w:tr>
      <w:tr w:rsidR="00C65706" w14:paraId="05FF1DA6" w14:textId="77777777" w:rsidTr="00B30D4C">
        <w:tc>
          <w:tcPr>
            <w:tcW w:w="2961" w:type="dxa"/>
          </w:tcPr>
          <w:p w14:paraId="74F957AB" w14:textId="77777777" w:rsidR="00C65706" w:rsidRDefault="00C65706" w:rsidP="00B30D4C">
            <w:pPr>
              <w:rPr>
                <w:bCs/>
                <w:szCs w:val="24"/>
              </w:rPr>
            </w:pPr>
            <w:r>
              <w:rPr>
                <w:bCs/>
                <w:szCs w:val="24"/>
              </w:rPr>
              <w:t>Appointment of Independent Advisors</w:t>
            </w:r>
          </w:p>
        </w:tc>
        <w:tc>
          <w:tcPr>
            <w:tcW w:w="4618" w:type="dxa"/>
          </w:tcPr>
          <w:p w14:paraId="51581659" w14:textId="77777777" w:rsidR="00C65706" w:rsidRDefault="00C65706" w:rsidP="00B30D4C">
            <w:pPr>
              <w:rPr>
                <w:bCs/>
                <w:szCs w:val="24"/>
              </w:rPr>
            </w:pPr>
            <w:r>
              <w:rPr>
                <w:bCs/>
                <w:szCs w:val="24"/>
              </w:rPr>
              <w:t xml:space="preserve">This report sought the Committee’s approval for the extension of the appointments of the two Independent </w:t>
            </w:r>
            <w:r>
              <w:rPr>
                <w:bCs/>
                <w:szCs w:val="24"/>
              </w:rPr>
              <w:lastRenderedPageBreak/>
              <w:t>Advisors until 31 March 2022 to enable a procurement exercise to be undertaken.</w:t>
            </w:r>
          </w:p>
          <w:p w14:paraId="26240AE9" w14:textId="77777777" w:rsidR="00C65706" w:rsidRDefault="00C65706" w:rsidP="00B30D4C">
            <w:pPr>
              <w:rPr>
                <w:bCs/>
                <w:szCs w:val="24"/>
              </w:rPr>
            </w:pPr>
          </w:p>
          <w:p w14:paraId="126B40D2" w14:textId="5EAE2DBB" w:rsidR="00C65706" w:rsidRPr="00C65706" w:rsidRDefault="00C65706" w:rsidP="00B30D4C">
            <w:pPr>
              <w:rPr>
                <w:b/>
                <w:szCs w:val="24"/>
              </w:rPr>
            </w:pPr>
            <w:r w:rsidRPr="00C65706">
              <w:rPr>
                <w:b/>
                <w:szCs w:val="24"/>
              </w:rPr>
              <w:t xml:space="preserve">The Committee APPROVED the </w:t>
            </w:r>
            <w:r>
              <w:rPr>
                <w:b/>
                <w:szCs w:val="24"/>
              </w:rPr>
              <w:t xml:space="preserve">extension of the appointments of the two Independent Advisors, </w:t>
            </w:r>
            <w:r w:rsidRPr="00C65706">
              <w:rPr>
                <w:b/>
                <w:szCs w:val="24"/>
              </w:rPr>
              <w:t>Alderman Richard Romain and Mr Colin Robertson</w:t>
            </w:r>
            <w:r>
              <w:rPr>
                <w:b/>
                <w:szCs w:val="24"/>
              </w:rPr>
              <w:t>,</w:t>
            </w:r>
            <w:r w:rsidRPr="00C65706">
              <w:rPr>
                <w:b/>
                <w:szCs w:val="24"/>
              </w:rPr>
              <w:t xml:space="preserve"> until 31 March 2022.</w:t>
            </w:r>
          </w:p>
          <w:p w14:paraId="1CA52167" w14:textId="4FC34CEF" w:rsidR="00C65706" w:rsidRDefault="00C65706" w:rsidP="00B30D4C">
            <w:pPr>
              <w:rPr>
                <w:bCs/>
                <w:szCs w:val="24"/>
              </w:rPr>
            </w:pPr>
          </w:p>
        </w:tc>
      </w:tr>
    </w:tbl>
    <w:p w14:paraId="513D2277" w14:textId="77777777" w:rsidR="0003283C" w:rsidRDefault="0003283C"/>
    <w:sectPr w:rsidR="0003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32052"/>
    <w:multiLevelType w:val="hybridMultilevel"/>
    <w:tmpl w:val="63A635E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40A06"/>
    <w:multiLevelType w:val="hybridMultilevel"/>
    <w:tmpl w:val="55DEB62A"/>
    <w:lvl w:ilvl="0" w:tplc="FFFFFFFF">
      <w:start w:val="1"/>
      <w:numFmt w:val="decimal"/>
      <w:lvlText w:val="(%1)"/>
      <w:lvlJc w:val="left"/>
      <w:pPr>
        <w:ind w:left="720" w:hanging="72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DE40A07"/>
    <w:multiLevelType w:val="hybridMultilevel"/>
    <w:tmpl w:val="991C4128"/>
    <w:lvl w:ilvl="0" w:tplc="FFFFFFFF">
      <w:start w:val="1"/>
      <w:numFmt w:val="bullet"/>
      <w:lvlText w:val=""/>
      <w:lvlJc w:val="left"/>
      <w:pPr>
        <w:ind w:left="2880" w:hanging="720"/>
      </w:pPr>
      <w:rPr>
        <w:rFonts w:ascii="Symbol" w:hAnsi="Symbol" w:hint="default"/>
      </w:rPr>
    </w:lvl>
    <w:lvl w:ilvl="1" w:tplc="FFFFFFFF">
      <w:start w:val="1"/>
      <w:numFmt w:val="bullet"/>
      <w:lvlText w:val=""/>
      <w:lvlJc w:val="left"/>
      <w:pPr>
        <w:tabs>
          <w:tab w:val="num" w:pos="1440"/>
        </w:tabs>
        <w:ind w:left="1440" w:hanging="72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06"/>
    <w:rsid w:val="0003283C"/>
    <w:rsid w:val="00626103"/>
    <w:rsid w:val="009B26F7"/>
    <w:rsid w:val="00C6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C206"/>
  <w15:chartTrackingRefBased/>
  <w15:docId w15:val="{5ADD26D9-1F59-4FD0-A326-1FF00A1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7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F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2</cp:revision>
  <dcterms:created xsi:type="dcterms:W3CDTF">2020-09-14T13:36:00Z</dcterms:created>
  <dcterms:modified xsi:type="dcterms:W3CDTF">2020-09-14T13:54:00Z</dcterms:modified>
</cp:coreProperties>
</file>